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68EB" w:rsidRDefault="00CF3DC0">
      <w:pPr>
        <w:jc w:val="both"/>
      </w:pPr>
      <w:bookmarkStart w:id="0" w:name="_GoBack"/>
      <w:bookmarkEnd w:id="0"/>
      <w:r>
        <w:rPr>
          <w:b/>
          <w:i/>
        </w:rPr>
        <w:t>Suvestinė redakcija nuo 2024-03-14</w:t>
      </w:r>
    </w:p>
    <w:p w:rsidR="007268EB" w:rsidRDefault="007268EB">
      <w:pPr>
        <w:jc w:val="both"/>
        <w:rPr>
          <w:sz w:val="20"/>
        </w:rPr>
      </w:pPr>
    </w:p>
    <w:p w:rsidR="007268EB" w:rsidRDefault="00CF3DC0">
      <w:pPr>
        <w:jc w:val="both"/>
        <w:rPr>
          <w:sz w:val="20"/>
        </w:rPr>
      </w:pPr>
      <w:r>
        <w:rPr>
          <w:i/>
          <w:sz w:val="20"/>
        </w:rPr>
        <w:t>Įsakymas paskelbtas: TAR 2021-03-15, i. k. 2021-05120</w:t>
      </w:r>
    </w:p>
    <w:p w:rsidR="007268EB" w:rsidRDefault="007268EB">
      <w:pPr>
        <w:jc w:val="both"/>
        <w:rPr>
          <w:sz w:val="20"/>
        </w:rPr>
      </w:pPr>
    </w:p>
    <w:p w:rsidR="007268EB" w:rsidRDefault="007268EB">
      <w:pPr>
        <w:jc w:val="center"/>
        <w:rPr>
          <w:szCs w:val="24"/>
        </w:rPr>
      </w:pPr>
    </w:p>
    <w:p w:rsidR="007268EB" w:rsidRDefault="00CF3DC0">
      <w:pPr>
        <w:jc w:val="center"/>
        <w:rPr>
          <w:b/>
          <w:szCs w:val="24"/>
        </w:rPr>
      </w:pPr>
      <w:r>
        <w:rPr>
          <w:noProof/>
          <w:szCs w:val="24"/>
          <w:lang w:eastAsia="lt-LT"/>
        </w:rPr>
        <w:drawing>
          <wp:inline distT="0" distB="0" distL="0" distR="0">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rsidR="007268EB" w:rsidRDefault="007268EB">
      <w:pPr>
        <w:jc w:val="center"/>
        <w:rPr>
          <w:b/>
          <w:szCs w:val="24"/>
        </w:rPr>
      </w:pPr>
    </w:p>
    <w:p w:rsidR="007268EB" w:rsidRDefault="00CF3DC0">
      <w:pPr>
        <w:jc w:val="center"/>
        <w:rPr>
          <w:b/>
          <w:szCs w:val="24"/>
        </w:rPr>
      </w:pPr>
      <w:r>
        <w:rPr>
          <w:b/>
          <w:szCs w:val="24"/>
        </w:rPr>
        <w:t>VALSTYBINIO SOCIALINIO DRAUDIMO FONDO VALDYBOS</w:t>
      </w:r>
    </w:p>
    <w:p w:rsidR="007268EB" w:rsidRDefault="00CF3DC0">
      <w:pPr>
        <w:jc w:val="center"/>
        <w:rPr>
          <w:b/>
          <w:szCs w:val="24"/>
        </w:rPr>
      </w:pPr>
      <w:r>
        <w:rPr>
          <w:b/>
          <w:szCs w:val="24"/>
        </w:rPr>
        <w:t xml:space="preserve">PRIE SOCIALINĖS APSAUGOS IR DARBO </w:t>
      </w:r>
      <w:r>
        <w:rPr>
          <w:b/>
          <w:szCs w:val="24"/>
        </w:rPr>
        <w:t>MINISTERIJOS</w:t>
      </w:r>
    </w:p>
    <w:p w:rsidR="007268EB" w:rsidRDefault="00CF3DC0">
      <w:pPr>
        <w:jc w:val="center"/>
        <w:rPr>
          <w:b/>
          <w:szCs w:val="24"/>
        </w:rPr>
      </w:pPr>
      <w:r>
        <w:rPr>
          <w:b/>
          <w:szCs w:val="24"/>
        </w:rPr>
        <w:t>DIREKTORIUS</w:t>
      </w:r>
    </w:p>
    <w:p w:rsidR="007268EB" w:rsidRDefault="007268EB">
      <w:pPr>
        <w:jc w:val="center"/>
        <w:rPr>
          <w:b/>
          <w:bCs/>
          <w:caps/>
          <w:szCs w:val="24"/>
        </w:rPr>
      </w:pPr>
    </w:p>
    <w:p w:rsidR="007268EB" w:rsidRDefault="00CF3DC0">
      <w:pPr>
        <w:jc w:val="center"/>
        <w:rPr>
          <w:b/>
          <w:bCs/>
          <w:caps/>
          <w:szCs w:val="24"/>
        </w:rPr>
      </w:pPr>
      <w:r>
        <w:rPr>
          <w:b/>
          <w:bCs/>
          <w:caps/>
          <w:szCs w:val="24"/>
        </w:rPr>
        <w:t>ĮSAKYMAS</w:t>
      </w:r>
    </w:p>
    <w:p w:rsidR="007268EB" w:rsidRDefault="00CF3DC0">
      <w:pPr>
        <w:jc w:val="center"/>
        <w:rPr>
          <w:b/>
          <w:bCs/>
          <w:caps/>
          <w:szCs w:val="24"/>
        </w:rPr>
      </w:pPr>
      <w:r>
        <w:rPr>
          <w:b/>
          <w:bCs/>
          <w:caps/>
          <w:szCs w:val="24"/>
        </w:rPr>
        <w:t>DĖL funkcijų, susijusių su IŠMOKOMIS iš garantinio fondo ir iš ilgalaikio darbo išmokų fondo, paskirstymo valstybinio socialinio draudimo fondo valdybos teritoriniams skyriams</w:t>
      </w:r>
    </w:p>
    <w:p w:rsidR="007268EB" w:rsidRDefault="007268EB">
      <w:pPr>
        <w:jc w:val="center"/>
        <w:rPr>
          <w:b/>
          <w:bCs/>
          <w:caps/>
          <w:szCs w:val="24"/>
        </w:rPr>
      </w:pPr>
    </w:p>
    <w:p w:rsidR="007268EB" w:rsidRDefault="00CF3DC0">
      <w:pPr>
        <w:jc w:val="center"/>
        <w:rPr>
          <w:szCs w:val="24"/>
        </w:rPr>
      </w:pPr>
      <w:r>
        <w:rPr>
          <w:szCs w:val="24"/>
        </w:rPr>
        <w:t>2021 m. kovo 12 d. Nr. V-167</w:t>
      </w:r>
    </w:p>
    <w:p w:rsidR="007268EB" w:rsidRDefault="00CF3DC0">
      <w:pPr>
        <w:jc w:val="center"/>
        <w:rPr>
          <w:szCs w:val="24"/>
        </w:rPr>
      </w:pPr>
      <w:r>
        <w:rPr>
          <w:szCs w:val="24"/>
        </w:rPr>
        <w:t>Vilnius</w:t>
      </w:r>
    </w:p>
    <w:p w:rsidR="007268EB" w:rsidRDefault="007268EB">
      <w:pPr>
        <w:jc w:val="center"/>
        <w:rPr>
          <w:szCs w:val="24"/>
        </w:rPr>
      </w:pPr>
    </w:p>
    <w:p w:rsidR="007268EB" w:rsidRDefault="007268EB">
      <w:pPr>
        <w:jc w:val="center"/>
        <w:rPr>
          <w:szCs w:val="24"/>
        </w:rPr>
      </w:pPr>
    </w:p>
    <w:p w:rsidR="007268EB" w:rsidRDefault="00CF3DC0">
      <w:pPr>
        <w:ind w:firstLine="709"/>
        <w:jc w:val="both"/>
        <w:rPr>
          <w:szCs w:val="24"/>
        </w:rPr>
      </w:pPr>
      <w:r>
        <w:rPr>
          <w:szCs w:val="24"/>
        </w:rPr>
        <w:t>Siekd</w:t>
      </w:r>
      <w:r>
        <w:rPr>
          <w:szCs w:val="24"/>
        </w:rPr>
        <w:t>ama užtikrinti Lietuvos Respublikos garantijų darbuotojams jų darbdaviui tapus nemokiam ir ilgalaikio darbo išmokų įstatymo efektyvų įgyvendinimą:</w:t>
      </w:r>
    </w:p>
    <w:p w:rsidR="007268EB" w:rsidRDefault="00CF3DC0">
      <w:pPr>
        <w:tabs>
          <w:tab w:val="left" w:pos="1276"/>
        </w:tabs>
        <w:ind w:firstLine="709"/>
        <w:jc w:val="both"/>
        <w:rPr>
          <w:szCs w:val="24"/>
        </w:rPr>
      </w:pPr>
      <w:r>
        <w:rPr>
          <w:szCs w:val="24"/>
        </w:rPr>
        <w:t>1. N u s t a t a u, kad:</w:t>
      </w:r>
    </w:p>
    <w:p w:rsidR="007268EB" w:rsidRDefault="00CF3DC0">
      <w:pPr>
        <w:ind w:firstLine="709"/>
        <w:jc w:val="both"/>
        <w:rPr>
          <w:szCs w:val="24"/>
        </w:rPr>
      </w:pPr>
      <w:r>
        <w:rPr>
          <w:szCs w:val="24"/>
        </w:rPr>
        <w:t xml:space="preserve">1.1. išmokų iš Garantinio fondo ir iš Ilgalaikio darbo išmokų fondo apskaičiavimą, </w:t>
      </w:r>
      <w:r>
        <w:rPr>
          <w:szCs w:val="24"/>
        </w:rPr>
        <w:t>skyrimą ir mokėjimą centralizuotai vykdo Valstybinio socialinio draudimo fondo valdybos Kauno skyrius (toliau – Fondo valdybos Kauno skyrius);</w:t>
      </w:r>
    </w:p>
    <w:p w:rsidR="007268EB" w:rsidRDefault="00CF3DC0">
      <w:pPr>
        <w:ind w:firstLine="709"/>
        <w:jc w:val="both"/>
        <w:rPr>
          <w:rFonts w:eastAsia="Calibri"/>
          <w:bCs/>
          <w:szCs w:val="24"/>
        </w:rPr>
      </w:pPr>
      <w:r>
        <w:rPr>
          <w:rFonts w:eastAsia="Calibri"/>
          <w:bCs/>
          <w:szCs w:val="24"/>
        </w:rPr>
        <w:t xml:space="preserve">1.2. </w:t>
      </w:r>
      <w:r>
        <w:rPr>
          <w:szCs w:val="24"/>
        </w:rPr>
        <w:t xml:space="preserve">Fondo valdybos Kauno skyriaus interesams teismuose – bylose dėl išmokų iš Garantinio fondo ir iš Ilgalaikio </w:t>
      </w:r>
      <w:r>
        <w:rPr>
          <w:szCs w:val="24"/>
        </w:rPr>
        <w:t>darbo išmokų fondo permokų (Garantiniam fondui ir Ilgalaikio darbo išmokų fondui padarytos žalos), kai kaltieji asmenys nesutinka žalos atlyginti savo noru ir jos negalima išieškoti iš asmeniui mokamų socialinio draudimo išmokų, priteisimo atstovauja (reng</w:t>
      </w:r>
      <w:r>
        <w:rPr>
          <w:szCs w:val="24"/>
        </w:rPr>
        <w:t>ia ieškinius ir kitus procesinius dokumentus, dalyvauja teismo posėdžiuose, atlieka visus kitus reikiamus procesinius veiksmus) Valstybinio socialinio draudimo fondo valdybos prie Socialinės apsaugos ir darbo ministerijos teritoriniai skyriai (toliau – Fon</w:t>
      </w:r>
      <w:r>
        <w:rPr>
          <w:szCs w:val="24"/>
        </w:rPr>
        <w:t>do valdybos teritoriniai skyriai), kurių aptarnaujamoje teritorijoje yra atsakovo gyvenamoji vieta ar buveinė. Vykdymo procese išieškotojo teises ir pareigas įgyvendina Fondo valdybos Kauno skyrius;</w:t>
      </w:r>
    </w:p>
    <w:p w:rsidR="007268EB" w:rsidRDefault="00CF3DC0">
      <w:pPr>
        <w:ind w:firstLine="709"/>
        <w:jc w:val="both"/>
        <w:rPr>
          <w:rFonts w:eastAsia="Calibri"/>
          <w:bCs/>
          <w:szCs w:val="24"/>
        </w:rPr>
      </w:pPr>
      <w:r>
        <w:rPr>
          <w:rFonts w:eastAsia="Calibri"/>
          <w:bCs/>
          <w:szCs w:val="24"/>
        </w:rPr>
        <w:t xml:space="preserve">1.3. </w:t>
      </w:r>
      <w:r>
        <w:rPr>
          <w:szCs w:val="24"/>
        </w:rPr>
        <w:t>išmokų iš Garantinio fondo ir iš Ilgalaikio darbo iš</w:t>
      </w:r>
      <w:r>
        <w:rPr>
          <w:szCs w:val="24"/>
        </w:rPr>
        <w:t>mokų fondo permokas (Garantiniam fondui ir Ilgalaikio darbo išmokų fondui padarytą žalą), kurios atsirado dėl Fondo valdybos Kauno skyriaus valstybės tarnautojų ar darbuotojų (toliau – darbuotojai) kaltės, kai kaltieji darbuotojai nesutinka žalos atlyginti</w:t>
      </w:r>
      <w:r>
        <w:rPr>
          <w:szCs w:val="24"/>
        </w:rPr>
        <w:t xml:space="preserve"> savo noru ir jos negalima išskaityti iš darbuotojų darbo užmokesčio, teismo tvarka išieško Fondo valdybos Kauno skyrius;</w:t>
      </w:r>
    </w:p>
    <w:p w:rsidR="007268EB" w:rsidRDefault="00CF3DC0">
      <w:pPr>
        <w:ind w:firstLine="709"/>
        <w:jc w:val="both"/>
        <w:rPr>
          <w:rFonts w:eastAsia="Calibri"/>
          <w:bCs/>
          <w:szCs w:val="24"/>
        </w:rPr>
      </w:pPr>
      <w:r>
        <w:rPr>
          <w:rFonts w:eastAsia="Calibri"/>
          <w:bCs/>
          <w:szCs w:val="24"/>
        </w:rPr>
        <w:t xml:space="preserve">1.4. </w:t>
      </w:r>
      <w:r>
        <w:rPr>
          <w:szCs w:val="24"/>
        </w:rPr>
        <w:t>tais atvejais, kai išmokų iš Garantinio fondo ir iš Ilgalaikio darbo išmokų fondo permoką (Garantiniam fondui ir Ilgalaikio darbo</w:t>
      </w:r>
      <w:r>
        <w:rPr>
          <w:szCs w:val="24"/>
        </w:rPr>
        <w:t xml:space="preserve"> išmokų fondui padarytą žalą) galima išieškoti tik teismine tvarka, o ieškinys turi būti teikiamas ne Lietuvos Respublikos teisme, permokos grąžinimą (žalos atlyginimą) administruoja Fondo valdybos Kauno skyrius;</w:t>
      </w:r>
    </w:p>
    <w:p w:rsidR="007268EB" w:rsidRDefault="00CF3DC0">
      <w:pPr>
        <w:ind w:firstLine="709"/>
        <w:jc w:val="both"/>
        <w:rPr>
          <w:rFonts w:eastAsia="Calibri"/>
          <w:bCs/>
          <w:szCs w:val="24"/>
        </w:rPr>
      </w:pPr>
      <w:r>
        <w:rPr>
          <w:szCs w:val="24"/>
        </w:rPr>
        <w:t>1.5. prašymus nemokumo administratoriams dė</w:t>
      </w:r>
      <w:r>
        <w:rPr>
          <w:szCs w:val="24"/>
        </w:rPr>
        <w:t>l kreditoriaus – Fondo valdybos Kauno skyriaus – reikalavimų dėl išmokų iš Garantinio fondo ir iš Ilgalaikio darbo išmokų fondo permokų, kurios atsirado dėl asmenų, kuriems iškelta bankroto arba restruktūrizavimo byla, kaltės, tvirtinimo (tikslinimo) teiki</w:t>
      </w:r>
      <w:r>
        <w:rPr>
          <w:szCs w:val="24"/>
        </w:rPr>
        <w:t>a ir Fondo valdybos Kauno skyriaus interesams bankroto arba restruktūrizavimo byloje atstovauja Fondo valdybos teritoriniai skyriai, kurių aptarnaujamoje teritorijoje yra bankrutuojančio arba restruktūrizuojamo asmens gyvenamoji vieta arba buveinė;</w:t>
      </w:r>
    </w:p>
    <w:p w:rsidR="007268EB" w:rsidRDefault="00CF3DC0">
      <w:pPr>
        <w:rPr>
          <w:rFonts w:eastAsia="MS Mincho"/>
          <w:i/>
          <w:iCs/>
          <w:sz w:val="20"/>
        </w:rPr>
      </w:pPr>
      <w:r>
        <w:rPr>
          <w:rFonts w:eastAsia="MS Mincho"/>
          <w:i/>
          <w:iCs/>
          <w:sz w:val="20"/>
        </w:rPr>
        <w:t>Papunkč</w:t>
      </w:r>
      <w:r>
        <w:rPr>
          <w:rFonts w:eastAsia="MS Mincho"/>
          <w:i/>
          <w:iCs/>
          <w:sz w:val="20"/>
        </w:rPr>
        <w:t>io pakeitimai:</w:t>
      </w:r>
    </w:p>
    <w:p w:rsidR="007268EB" w:rsidRDefault="00CF3DC0">
      <w:pPr>
        <w:jc w:val="both"/>
        <w:rPr>
          <w:rFonts w:eastAsia="MS Mincho"/>
          <w:i/>
          <w:iCs/>
          <w:sz w:val="20"/>
        </w:rPr>
      </w:pPr>
      <w:r>
        <w:rPr>
          <w:rFonts w:eastAsia="MS Mincho"/>
          <w:i/>
          <w:iCs/>
          <w:sz w:val="20"/>
        </w:rPr>
        <w:lastRenderedPageBreak/>
        <w:t xml:space="preserve">Nr. </w:t>
      </w:r>
      <w:hyperlink r:id="rId7" w:history="1">
        <w:r w:rsidRPr="00532B9F">
          <w:rPr>
            <w:rFonts w:eastAsia="MS Mincho"/>
            <w:i/>
            <w:iCs/>
            <w:color w:val="0000FF" w:themeColor="hyperlink"/>
            <w:sz w:val="20"/>
            <w:u w:val="single"/>
          </w:rPr>
          <w:t>V-90</w:t>
        </w:r>
      </w:hyperlink>
      <w:r>
        <w:rPr>
          <w:rFonts w:eastAsia="MS Mincho"/>
          <w:i/>
          <w:iCs/>
          <w:sz w:val="20"/>
        </w:rPr>
        <w:t>, 2024-03-13, paskelbta TAR 2024-03-13, i. k. 2024-04607</w:t>
      </w:r>
    </w:p>
    <w:p w:rsidR="007268EB" w:rsidRDefault="007268EB"/>
    <w:p w:rsidR="007268EB" w:rsidRDefault="00CF3DC0">
      <w:pPr>
        <w:ind w:firstLine="709"/>
        <w:jc w:val="both"/>
        <w:rPr>
          <w:rFonts w:eastAsia="Calibri"/>
          <w:bCs/>
          <w:szCs w:val="24"/>
        </w:rPr>
      </w:pPr>
      <w:r>
        <w:rPr>
          <w:szCs w:val="24"/>
        </w:rPr>
        <w:t xml:space="preserve">1.6. prašymus nemokumo administratoriams dėl kreditoriaus – Fondo valdybos </w:t>
      </w:r>
      <w:r>
        <w:rPr>
          <w:szCs w:val="24"/>
        </w:rPr>
        <w:t>Kauno skyriaus – reikalavimų dėl iš Garantinio fondo išmokėtos išmokos sumos išieškojimo atgręžtinio reikalavimo teise tvirtinimo (tikslinimo) teikia ir Fondo valdybos Kauno skyriaus interesams bankroto arba restruktūrizavimo bylose atstovauja Fondo valdyb</w:t>
      </w:r>
      <w:r>
        <w:rPr>
          <w:szCs w:val="24"/>
        </w:rPr>
        <w:t>os teritoriniai skyriai, kurių aptarnaujamoje teritorijoje yra bankrutuojančio arba restruktūrizuojamo asmens gyvenamoji vieta arba buveinė.</w:t>
      </w:r>
      <w:r>
        <w:t xml:space="preserve"> </w:t>
      </w:r>
    </w:p>
    <w:p w:rsidR="007268EB" w:rsidRDefault="00CF3DC0">
      <w:pPr>
        <w:rPr>
          <w:rFonts w:eastAsia="MS Mincho"/>
          <w:i/>
          <w:iCs/>
          <w:sz w:val="20"/>
        </w:rPr>
      </w:pPr>
      <w:r>
        <w:rPr>
          <w:rFonts w:eastAsia="MS Mincho"/>
          <w:i/>
          <w:iCs/>
          <w:sz w:val="20"/>
        </w:rPr>
        <w:t>Papunkčio pakeitimai:</w:t>
      </w:r>
    </w:p>
    <w:p w:rsidR="007268EB" w:rsidRDefault="00CF3DC0">
      <w:pPr>
        <w:jc w:val="both"/>
        <w:rPr>
          <w:rFonts w:eastAsia="MS Mincho"/>
          <w:i/>
          <w:iCs/>
          <w:sz w:val="20"/>
        </w:rPr>
      </w:pPr>
      <w:r>
        <w:rPr>
          <w:rFonts w:eastAsia="MS Mincho"/>
          <w:i/>
          <w:iCs/>
          <w:sz w:val="20"/>
        </w:rPr>
        <w:t xml:space="preserve">Nr. </w:t>
      </w:r>
      <w:hyperlink r:id="rId8" w:history="1">
        <w:r w:rsidRPr="00532B9F">
          <w:rPr>
            <w:rFonts w:eastAsia="MS Mincho"/>
            <w:i/>
            <w:iCs/>
            <w:color w:val="0000FF" w:themeColor="hyperlink"/>
            <w:sz w:val="20"/>
            <w:u w:val="single"/>
          </w:rPr>
          <w:t>V-90</w:t>
        </w:r>
      </w:hyperlink>
      <w:r>
        <w:rPr>
          <w:rFonts w:eastAsia="MS Mincho"/>
          <w:i/>
          <w:iCs/>
          <w:sz w:val="20"/>
        </w:rPr>
        <w:t>, 2024-03-13, paskelbta TAR 2024-03-13, i. k. 2024-04607</w:t>
      </w:r>
    </w:p>
    <w:p w:rsidR="007268EB" w:rsidRDefault="007268EB"/>
    <w:p w:rsidR="007268EB" w:rsidRDefault="00CF3DC0">
      <w:pPr>
        <w:tabs>
          <w:tab w:val="left" w:pos="709"/>
          <w:tab w:val="left" w:pos="1276"/>
        </w:tabs>
        <w:ind w:firstLine="709"/>
        <w:jc w:val="both"/>
        <w:rPr>
          <w:szCs w:val="24"/>
        </w:rPr>
      </w:pPr>
      <w:r>
        <w:rPr>
          <w:szCs w:val="24"/>
        </w:rPr>
        <w:t>2. P r i p a ž į s t u netekusiu galios Valstybinio socialinio draudimo fondo valdybos prie Socialinės apsaugos ir darbo ministerijos (toliau – Fondo valdyba) direktoriaus 2016 m. gruo</w:t>
      </w:r>
      <w:r>
        <w:rPr>
          <w:szCs w:val="24"/>
        </w:rPr>
        <w:t xml:space="preserve">džio 21 d. įsakymą Nr. V-679 „Dėl </w:t>
      </w:r>
      <w:r>
        <w:rPr>
          <w:bCs/>
          <w:szCs w:val="24"/>
        </w:rPr>
        <w:t>funkcijų, susijusių su garantijų darbuotojams jų darbdaviui tapus nemokiam ir ilgalaikio darbo išmokomis, paskirstymo Valstybinio socialinio draudimo fondo valdybos teritoriniams skyriams</w:t>
      </w:r>
      <w:r>
        <w:rPr>
          <w:szCs w:val="24"/>
        </w:rPr>
        <w:t>“.</w:t>
      </w:r>
    </w:p>
    <w:p w:rsidR="007268EB" w:rsidRDefault="00CF3DC0">
      <w:pPr>
        <w:tabs>
          <w:tab w:val="left" w:pos="709"/>
          <w:tab w:val="left" w:pos="1276"/>
        </w:tabs>
        <w:ind w:firstLine="709"/>
        <w:jc w:val="both"/>
        <w:rPr>
          <w:szCs w:val="24"/>
        </w:rPr>
      </w:pPr>
      <w:r>
        <w:rPr>
          <w:szCs w:val="24"/>
        </w:rPr>
        <w:t>3. N u s t a t a u, kad šio įsak</w:t>
      </w:r>
      <w:r>
        <w:rPr>
          <w:szCs w:val="24"/>
        </w:rPr>
        <w:t>ymo 1 ir 2 punktai įsigalioja 2021 m. liepos 1 d.</w:t>
      </w:r>
    </w:p>
    <w:p w:rsidR="007268EB" w:rsidRDefault="00CF3DC0">
      <w:pPr>
        <w:tabs>
          <w:tab w:val="left" w:pos="709"/>
          <w:tab w:val="left" w:pos="1276"/>
        </w:tabs>
        <w:ind w:firstLine="709"/>
        <w:jc w:val="both"/>
        <w:rPr>
          <w:szCs w:val="24"/>
        </w:rPr>
      </w:pPr>
      <w:r>
        <w:rPr>
          <w:szCs w:val="24"/>
        </w:rPr>
        <w:t>4. Į p a r e i g o j u:</w:t>
      </w:r>
    </w:p>
    <w:p w:rsidR="007268EB" w:rsidRDefault="00CF3DC0">
      <w:pPr>
        <w:tabs>
          <w:tab w:val="left" w:pos="709"/>
          <w:tab w:val="left" w:pos="1276"/>
        </w:tabs>
        <w:ind w:firstLine="709"/>
        <w:jc w:val="both"/>
        <w:rPr>
          <w:szCs w:val="24"/>
        </w:rPr>
      </w:pPr>
      <w:r>
        <w:rPr>
          <w:szCs w:val="24"/>
        </w:rPr>
        <w:t>4.1. Fondo valdybos Informacinės sistemos eksploatavimo ir informacijos valdymo skyrių šį įsakymą išsiųsti Fondo valdybos direktoriaus pavaduotojams, Fondo valdybos skyriams ir Fondo</w:t>
      </w:r>
      <w:r>
        <w:rPr>
          <w:szCs w:val="24"/>
        </w:rPr>
        <w:t xml:space="preserve"> valdybos teritoriniams skyriams;</w:t>
      </w:r>
    </w:p>
    <w:p w:rsidR="007268EB" w:rsidRDefault="00CF3DC0">
      <w:pPr>
        <w:tabs>
          <w:tab w:val="left" w:pos="709"/>
          <w:tab w:val="left" w:pos="1276"/>
        </w:tabs>
        <w:ind w:firstLine="709"/>
        <w:jc w:val="both"/>
        <w:rPr>
          <w:szCs w:val="24"/>
        </w:rPr>
      </w:pPr>
      <w:r>
        <w:rPr>
          <w:szCs w:val="24"/>
        </w:rPr>
        <w:t>4.2. Fondo valdybos Teisės skyrių šį įsakymą pateikti Teisės aktų registrui;</w:t>
      </w:r>
    </w:p>
    <w:p w:rsidR="007268EB" w:rsidRDefault="00CF3DC0">
      <w:pPr>
        <w:tabs>
          <w:tab w:val="left" w:pos="709"/>
          <w:tab w:val="left" w:pos="1276"/>
        </w:tabs>
        <w:ind w:firstLine="709"/>
        <w:jc w:val="both"/>
        <w:rPr>
          <w:szCs w:val="24"/>
        </w:rPr>
      </w:pPr>
      <w:r>
        <w:rPr>
          <w:szCs w:val="24"/>
        </w:rPr>
        <w:t>4.3. Fondo valdybos Klientų aptarnavimo valdymo skyrių paskelbti šį įsakymą Fondo valdybos interneto svetainėje;</w:t>
      </w:r>
    </w:p>
    <w:p w:rsidR="007268EB" w:rsidRDefault="00CF3DC0">
      <w:pPr>
        <w:tabs>
          <w:tab w:val="left" w:pos="709"/>
          <w:tab w:val="left" w:pos="1276"/>
        </w:tabs>
        <w:ind w:firstLine="709"/>
        <w:jc w:val="both"/>
        <w:rPr>
          <w:szCs w:val="24"/>
        </w:rPr>
      </w:pPr>
      <w:r>
        <w:rPr>
          <w:szCs w:val="24"/>
        </w:rPr>
        <w:t>4.4. Fondo valdybos Veiklos plan</w:t>
      </w:r>
      <w:r>
        <w:rPr>
          <w:szCs w:val="24"/>
        </w:rPr>
        <w:t>avimo ir pokyčių valdymo skyrių paskelbti šį įsakymą Valstybinio socialinio draudimo fondo administravimo įstaigų intraneto svetainėje.</w:t>
      </w:r>
    </w:p>
    <w:p w:rsidR="007268EB" w:rsidRDefault="007268EB">
      <w:pPr>
        <w:tabs>
          <w:tab w:val="left" w:pos="7230"/>
        </w:tabs>
      </w:pPr>
    </w:p>
    <w:p w:rsidR="007268EB" w:rsidRDefault="007268EB">
      <w:pPr>
        <w:tabs>
          <w:tab w:val="left" w:pos="7230"/>
        </w:tabs>
      </w:pPr>
    </w:p>
    <w:p w:rsidR="007268EB" w:rsidRDefault="007268EB">
      <w:pPr>
        <w:tabs>
          <w:tab w:val="left" w:pos="7230"/>
        </w:tabs>
      </w:pPr>
    </w:p>
    <w:p w:rsidR="007268EB" w:rsidRDefault="00CF3DC0">
      <w:pPr>
        <w:tabs>
          <w:tab w:val="left" w:pos="7230"/>
        </w:tabs>
      </w:pPr>
      <w:r>
        <w:rPr>
          <w:szCs w:val="24"/>
        </w:rPr>
        <w:t>Direktorė</w:t>
      </w:r>
      <w:r>
        <w:rPr>
          <w:szCs w:val="24"/>
        </w:rPr>
        <w:tab/>
        <w:t>Julita Varanauskienė</w:t>
      </w:r>
    </w:p>
    <w:p w:rsidR="007268EB" w:rsidRDefault="007268EB">
      <w:pPr>
        <w:jc w:val="both"/>
        <w:rPr>
          <w:b/>
          <w:sz w:val="20"/>
        </w:rPr>
      </w:pPr>
    </w:p>
    <w:p w:rsidR="007268EB" w:rsidRDefault="007268EB">
      <w:pPr>
        <w:jc w:val="both"/>
        <w:rPr>
          <w:b/>
          <w:sz w:val="20"/>
        </w:rPr>
      </w:pPr>
    </w:p>
    <w:p w:rsidR="007268EB" w:rsidRDefault="00CF3DC0">
      <w:pPr>
        <w:jc w:val="both"/>
        <w:rPr>
          <w:b/>
        </w:rPr>
      </w:pPr>
      <w:r>
        <w:rPr>
          <w:b/>
          <w:sz w:val="20"/>
        </w:rPr>
        <w:t>Pakeitimai:</w:t>
      </w:r>
    </w:p>
    <w:p w:rsidR="007268EB" w:rsidRDefault="007268EB">
      <w:pPr>
        <w:jc w:val="both"/>
        <w:rPr>
          <w:sz w:val="20"/>
        </w:rPr>
      </w:pPr>
    </w:p>
    <w:p w:rsidR="007268EB" w:rsidRDefault="00CF3DC0">
      <w:pPr>
        <w:jc w:val="both"/>
      </w:pPr>
      <w:r>
        <w:rPr>
          <w:sz w:val="20"/>
        </w:rPr>
        <w:t>1.</w:t>
      </w:r>
    </w:p>
    <w:p w:rsidR="007268EB" w:rsidRDefault="00CF3DC0">
      <w:pPr>
        <w:jc w:val="both"/>
      </w:pPr>
      <w:r>
        <w:rPr>
          <w:sz w:val="20"/>
        </w:rPr>
        <w:t xml:space="preserve">Valstybinio socialinio draudimo fondo valdyba prie Socialinės </w:t>
      </w:r>
      <w:r>
        <w:rPr>
          <w:sz w:val="20"/>
        </w:rPr>
        <w:t>apsaugos ir darbo ministerijos, Įsakymas</w:t>
      </w:r>
    </w:p>
    <w:p w:rsidR="007268EB" w:rsidRDefault="00CF3DC0">
      <w:pPr>
        <w:jc w:val="both"/>
      </w:pPr>
      <w:r>
        <w:rPr>
          <w:sz w:val="20"/>
        </w:rPr>
        <w:t xml:space="preserve">Nr. </w:t>
      </w:r>
      <w:hyperlink r:id="rId9" w:history="1">
        <w:r w:rsidRPr="00532B9F">
          <w:rPr>
            <w:rFonts w:eastAsia="MS Mincho"/>
            <w:iCs/>
            <w:color w:val="0000FF" w:themeColor="hyperlink"/>
            <w:sz w:val="20"/>
            <w:u w:val="single"/>
          </w:rPr>
          <w:t>V-90</w:t>
        </w:r>
      </w:hyperlink>
      <w:r>
        <w:rPr>
          <w:rFonts w:eastAsia="MS Mincho"/>
          <w:iCs/>
          <w:sz w:val="20"/>
        </w:rPr>
        <w:t>, 2024-03-13, paskelbta TAR 2024-03-13, i. k. 2024-04607</w:t>
      </w:r>
    </w:p>
    <w:p w:rsidR="007268EB" w:rsidRDefault="00CF3DC0">
      <w:pPr>
        <w:jc w:val="both"/>
      </w:pPr>
      <w:r>
        <w:rPr>
          <w:sz w:val="20"/>
        </w:rPr>
        <w:t xml:space="preserve">Dėl Valstybinio socialinio draudimo fondo valdybos </w:t>
      </w:r>
      <w:r>
        <w:rPr>
          <w:sz w:val="20"/>
        </w:rPr>
        <w:t>prie Socialinės apsaugos ir darbo ministerijos 2021 m. kovo 12 d. įsakymo Nr. V-167 „Dėl funkcijų, susijusių su išmokomis iš Garantinio fondo ir iš Ilgalaikio darbo išmokų fondo, paskirstymo Valstybinio socialinio draudimo fondo valdybos teritoriniams skyr</w:t>
      </w:r>
      <w:r>
        <w:rPr>
          <w:sz w:val="20"/>
        </w:rPr>
        <w:t>iams“ pakeitimo</w:t>
      </w:r>
    </w:p>
    <w:p w:rsidR="007268EB" w:rsidRDefault="007268EB">
      <w:pPr>
        <w:jc w:val="both"/>
        <w:rPr>
          <w:sz w:val="20"/>
        </w:rPr>
      </w:pPr>
    </w:p>
    <w:p w:rsidR="007268EB" w:rsidRDefault="007268EB">
      <w:pPr>
        <w:widowControl w:val="0"/>
        <w:rPr>
          <w:snapToGrid w:val="0"/>
        </w:rPr>
      </w:pPr>
    </w:p>
    <w:p w:rsidR="007268EB" w:rsidRDefault="007268EB">
      <w:pPr>
        <w:tabs>
          <w:tab w:val="left" w:pos="7230"/>
        </w:tabs>
        <w:rPr>
          <w:szCs w:val="24"/>
        </w:rPr>
      </w:pPr>
    </w:p>
    <w:sectPr w:rsidR="007268EB">
      <w:headerReference w:type="even" r:id="rId10"/>
      <w:headerReference w:type="default" r:id="rId11"/>
      <w:footerReference w:type="even" r:id="rId12"/>
      <w:footerReference w:type="default" r:id="rId13"/>
      <w:headerReference w:type="first" r:id="rId14"/>
      <w:footerReference w:type="first" r:id="rId15"/>
      <w:pgSz w:w="11906" w:h="16838" w:code="9"/>
      <w:pgMar w:top="1134"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68EB" w:rsidRDefault="00CF3DC0">
      <w:pPr>
        <w:rPr>
          <w:szCs w:val="24"/>
        </w:rPr>
      </w:pPr>
      <w:r>
        <w:rPr>
          <w:szCs w:val="24"/>
        </w:rPr>
        <w:separator/>
      </w:r>
    </w:p>
  </w:endnote>
  <w:endnote w:type="continuationSeparator" w:id="0">
    <w:p w:rsidR="007268EB" w:rsidRDefault="00CF3DC0">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7268EB">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7268EB">
    <w:pPr>
      <w:tabs>
        <w:tab w:val="center" w:pos="4153"/>
        <w:tab w:val="right" w:pos="8306"/>
      </w:tabs>
      <w:rPr>
        <w:szCs w:val="24"/>
      </w:rPr>
    </w:pPr>
  </w:p>
  <w:p w:rsidR="007268EB" w:rsidRDefault="007268EB">
    <w:pPr>
      <w:tabs>
        <w:tab w:val="center" w:pos="4153"/>
        <w:tab w:val="right" w:pos="8306"/>
      </w:tabs>
      <w:rPr>
        <w:szCs w:val="24"/>
      </w:rPr>
    </w:pPr>
  </w:p>
  <w:p w:rsidR="007268EB" w:rsidRDefault="007268EB">
    <w:pPr>
      <w:tabs>
        <w:tab w:val="center" w:pos="4153"/>
        <w:tab w:val="right" w:pos="8306"/>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7268E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68EB" w:rsidRDefault="00CF3DC0">
      <w:pPr>
        <w:rPr>
          <w:szCs w:val="24"/>
        </w:rPr>
      </w:pPr>
      <w:r>
        <w:rPr>
          <w:szCs w:val="24"/>
        </w:rPr>
        <w:separator/>
      </w:r>
    </w:p>
  </w:footnote>
  <w:footnote w:type="continuationSeparator" w:id="0">
    <w:p w:rsidR="007268EB" w:rsidRDefault="00CF3DC0">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CF3DC0">
    <w:pPr>
      <w:tabs>
        <w:tab w:val="center" w:pos="4153"/>
        <w:tab w:val="right" w:pos="8306"/>
      </w:tabs>
      <w:jc w:val="center"/>
      <w:rPr>
        <w:szCs w:val="24"/>
      </w:rPr>
    </w:pPr>
    <w:r>
      <w:rPr>
        <w:szCs w:val="24"/>
      </w:rPr>
      <w:fldChar w:fldCharType="begin"/>
    </w:r>
    <w:r>
      <w:rPr>
        <w:szCs w:val="24"/>
      </w:rPr>
      <w:instrText xml:space="preserve"> PAGE </w:instrText>
    </w:r>
    <w:r>
      <w:rPr>
        <w:szCs w:val="24"/>
      </w:rPr>
      <w:fldChar w:fldCharType="separate"/>
    </w:r>
    <w:r>
      <w:rPr>
        <w:szCs w:val="24"/>
      </w:rPr>
      <w:t>2</w:t>
    </w:r>
    <w:r>
      <w:rPr>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CF3DC0">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p>
  <w:p w:rsidR="007268EB" w:rsidRDefault="007268EB">
    <w:pPr>
      <w:tabs>
        <w:tab w:val="center" w:pos="4153"/>
        <w:tab w:val="right" w:pos="8306"/>
      </w:tabs>
      <w:jc w:val="center"/>
      <w:rPr>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68EB" w:rsidRDefault="007268EB">
    <w:pPr>
      <w:tabs>
        <w:tab w:val="center" w:pos="4153"/>
        <w:tab w:val="right" w:pos="8306"/>
      </w:tabs>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D97"/>
    <w:rsid w:val="004D0D97"/>
    <w:rsid w:val="007268EB"/>
    <w:rsid w:val="00CF3DC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5:docId w15:val="{2E6B7640-24CC-4D58-A702-B9A9B3A0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Porat">
    <w:name w:val="footer"/>
    <w:basedOn w:val="prastasis"/>
    <w:link w:val="PoratDiagrama"/>
    <w:pPr>
      <w:tabs>
        <w:tab w:val="center" w:pos="4819"/>
        <w:tab w:val="right" w:pos="9638"/>
      </w:tabs>
    </w:pPr>
  </w:style>
  <w:style w:type="character" w:customStyle="1" w:styleId="PoratDiagrama">
    <w:name w:val="Poraštė Diagrama"/>
    <w:basedOn w:val="Numatytasispastraiposriftas"/>
    <w:link w:val="Porat"/>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508763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egalAct.html?documentId=763e18a0e14811eead77e967e3995264"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www.e-tar.lt/portal/legalAct.html?documentId=763e18a0e14811eead77e967e3995264"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e-tar.lt/portal/legalAct.html?documentId=763e18a0e14811eead77e967e3995264"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3542</Words>
  <Characters>2019</Characters>
  <Application>Microsoft Office Word</Application>
  <DocSecurity>0</DocSecurity>
  <Lines>16</Lines>
  <Paragraphs>11</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5550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2</cp:revision>
  <cp:lastPrinted>2017-09-15T14:47:00Z</cp:lastPrinted>
  <dcterms:created xsi:type="dcterms:W3CDTF">2025-04-23T13:23:00Z</dcterms:created>
  <dcterms:modified xsi:type="dcterms:W3CDTF">2025-04-23T13:23:00Z</dcterms:modified>
</cp:coreProperties>
</file>